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0"/>
          <w:szCs w:val="20"/>
          <w:rtl w:val="0"/>
        </w:rPr>
        <w:t xml:space="preserve">CHINESE FLAGSHIP SECONDARY CURRICULUM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rtl w:val="0"/>
        </w:rPr>
        <w:t xml:space="preserve">LEVEL 4 - AN INTERCONNECTED WORLD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8"/>
          <w:szCs w:val="28"/>
          <w:rtl w:val="0"/>
        </w:rPr>
        <w:t xml:space="preserve">Unit </w:t>
      </w:r>
      <w:r w:rsidDel="00000000" w:rsidR="00000000" w:rsidRPr="00000000">
        <w:rPr>
          <w:rFonts w:ascii="Arial" w:cs="Arial" w:eastAsia="Arial" w:hAnsi="Arial"/>
          <w:b w:val="1"/>
          <w:sz w:val="28"/>
          <w:szCs w:val="28"/>
          <w:rtl w:val="0"/>
        </w:rPr>
        <w:t xml:space="preserve">5</w:t>
      </w:r>
      <w:r w:rsidDel="00000000" w:rsidR="00000000" w:rsidRPr="00000000">
        <w:rPr>
          <w:rFonts w:ascii="Arial" w:cs="Arial" w:eastAsia="Arial" w:hAnsi="Arial"/>
          <w:b w:val="1"/>
          <w:color w:val="000000"/>
          <w:sz w:val="28"/>
          <w:szCs w:val="28"/>
          <w:rtl w:val="0"/>
        </w:rPr>
        <w:t xml:space="preserve">: Learning about China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8"/>
          <w:szCs w:val="28"/>
          <w:rtl w:val="0"/>
        </w:rPr>
        <w:t xml:space="preserve">Integrated Performance Assessment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Novice                 Novice                Novice            Intermediate           </w:t>
            </w:r>
            <w:r w:rsidDel="00000000" w:rsidR="00000000" w:rsidRPr="00000000">
              <w:rPr>
                <w:rFonts w:ascii="Arial" w:cs="Arial" w:eastAsia="Arial" w:hAnsi="Arial"/>
                <w:b w:val="1"/>
                <w:color w:val="000000"/>
                <w:sz w:val="22"/>
                <w:szCs w:val="22"/>
                <w:rtl w:val="0"/>
              </w:rPr>
              <w:t xml:space="preserve">Intermediate   </w:t>
            </w:r>
            <w:r w:rsidDel="00000000" w:rsidR="00000000" w:rsidRPr="00000000">
              <w:rPr>
                <w:rFonts w:ascii="Arial" w:cs="Arial" w:eastAsia="Arial" w:hAnsi="Arial"/>
                <w:b w:val="0"/>
                <w:color w:val="000000"/>
                <w:sz w:val="22"/>
                <w:szCs w:val="22"/>
                <w:rtl w:val="0"/>
              </w:rPr>
              <w:t xml:space="preserve">     Intermediate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Unicode MS" w:cs="Arial Unicode MS" w:eastAsia="Arial Unicode MS" w:hAnsi="Arial Unicode MS"/>
                <w:b w:val="0"/>
                <w:color w:val="000000"/>
                <w:sz w:val="22"/>
                <w:szCs w:val="22"/>
                <w:rtl w:val="0"/>
              </w:rPr>
              <w:t xml:space="preserve">      Low     ➔               Mid    ➔             High ➔            Low     ➔                 </w:t>
            </w:r>
            <w:r w:rsidDel="00000000" w:rsidR="00000000" w:rsidRPr="00000000">
              <w:rPr>
                <w:rFonts w:ascii="Arial" w:cs="Arial" w:eastAsia="Arial" w:hAnsi="Arial"/>
                <w:b w:val="1"/>
                <w:color w:val="000000"/>
                <w:sz w:val="22"/>
                <w:szCs w:val="22"/>
                <w:rtl w:val="0"/>
              </w:rPr>
              <w:t xml:space="preserve">  Mid       </w:t>
            </w:r>
            <w:r w:rsidDel="00000000" w:rsidR="00000000" w:rsidRPr="00000000">
              <w:rPr>
                <w:rFonts w:ascii="Arial Unicode MS" w:cs="Arial Unicode MS" w:eastAsia="Arial Unicode MS" w:hAnsi="Arial Unicode MS"/>
                <w:b w:val="0"/>
                <w:color w:val="000000"/>
                <w:sz w:val="22"/>
                <w:szCs w:val="22"/>
                <w:rtl w:val="0"/>
              </w:rPr>
              <w:t xml:space="preserve">  ➔            High➔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rtl w:val="0"/>
        </w:rPr>
        <w:t xml:space="preserve">Learning Targets: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I can demonstrate a good understanding of Chinese Heritage.</w:t>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I can demonstrate a basic understanding of China’s geography.</w:t>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I can describe current Chinese culture and community.</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I can describe significance of Chinese Historic sites.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Task 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 have lived in China for three years.  One of your friends would like to visit China this summer and he/she would like to learn more about China from you.  You decide to show your friend some pictures and share your living experience with your friend.</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Interpretive Reading Task:</w:t>
            </w:r>
            <w:r w:rsidDel="00000000" w:rsidR="00000000" w:rsidRPr="00000000">
              <w:rPr>
                <w:rFonts w:ascii="Arial" w:cs="Arial" w:eastAsia="Arial" w:hAnsi="Arial"/>
                <w:rtl w:val="0"/>
              </w:rPr>
              <w:t xml:space="preserve"> (Reading text, plus comprehension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Your friend showed you a travel ad, showing where he/she would like to go, but he/she has some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Arial" w:cs="Arial" w:eastAsia="Arial" w:hAnsi="Arial"/>
                  <w:color w:val="1155cc"/>
                  <w:u w:val="single"/>
                  <w:rtl w:val="0"/>
                </w:rPr>
                <w:t xml:space="preserve">(Article reading  and answer comprehension questions)</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Interpersonal Listening and Speaking Task: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 friend showed you a link about a historical site in China.  After watching the clips, he/she would like you to help determine if this is a good site to visit. Be prepared to discuss your reasons for why or why not your friend should visit this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Fonts w:ascii="Arial" w:cs="Arial" w:eastAsia="Arial" w:hAnsi="Arial"/>
                  <w:color w:val="1155cc"/>
                  <w:highlight w:val="white"/>
                  <w:u w:val="single"/>
                  <w:rtl w:val="0"/>
                </w:rPr>
                <w:t xml:space="preserve">http://v.youku.com/v_show/id_XMjQ4MjIyMTI4_rss.html</w:t>
              </w:r>
            </w:hyperlink>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5"/>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Presentational Writing Task: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 have a good friend who lives in China. You are going to send him/her an email to ask him/her to provide accommodations for another of your friends, who will be travelling to China, in the summer. You will explain the reason why your friend is visiting China; weather, terrain, transportation, people, cuisine, culture, and length of visit. Please write at least 2 paragraphs.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Fonts w:ascii="Arial" w:cs="Arial" w:eastAsia="Arial" w:hAnsi="Arial"/>
                  <w:color w:val="1155cc"/>
                  <w:u w:val="single"/>
                  <w:rtl w:val="0"/>
                </w:rPr>
                <w:t xml:space="preserve">(Rubrics)</w:t>
              </w:r>
            </w:hyperlink>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6"/>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Presentational Speaking Task: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In order to help a friend save money when traveling, you help find contacts, accommodations, and other support.  You and your friend search the internet, local communities and educational institutions that provide scholarships.  You will report back to the group by talking about the days of the trip; purpose, meals, places, costs, etc.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(Please use 3-5 minutes to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Arial" w:cs="Arial" w:eastAsia="Arial" w:hAnsi="Arial"/>
                  <w:color w:val="1155cc"/>
                  <w:u w:val="single"/>
                  <w:rtl w:val="0"/>
                </w:rPr>
                <w:t xml:space="preserve">(Rubrics)</w:t>
              </w:r>
            </w:hyperlink>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73JJjgGiWz-mkg4DwR5sYj-L11GaWC_WcL_sdaq4RRg/edit#heading=h.uuj2ipodoold" TargetMode="External"/><Relationship Id="rId6" Type="http://schemas.openxmlformats.org/officeDocument/2006/relationships/hyperlink" Target="http://v.youku.com/v_show/id_XMjQ4MjIyMTI4_rss.html" TargetMode="External"/><Relationship Id="rId7" Type="http://schemas.openxmlformats.org/officeDocument/2006/relationships/hyperlink" Target="http://education.ohio.gov/Topics/Ohios-Learning-Standards/Foreign-Language/World-Languages-Model-Curriculum/World-Languages-Model-Curriculum-Framework/Instructional-Strategies/Scoring-Guidelines-for-World-Languages" TargetMode="External"/><Relationship Id="rId8" Type="http://schemas.openxmlformats.org/officeDocument/2006/relationships/hyperlink" Target="http://education.ohio.gov/Topics/Ohios-Learning-Standards/Foreign-Language/World-Languages-Model-Curriculum/World-Languages-Model-Curriculum-Framework/Instructional-Strategies/Scoring-Guidelines-for-World-Languages" TargetMode="External"/></Relationships>
</file>